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bookmarkStart w:name="_GoBack" w:id="0"/>
      <w:bookmarkEnd w:id="0"/>
      <w:r w:rsidRPr="00E635A2">
        <w:rPr>
          <w:rFonts w:hint="cs" w:cs="David"/>
          <w:sz w:val="20"/>
          <w:szCs w:val="20"/>
          <w:rtl/>
        </w:rPr>
        <w:t xml:space="preserve">מספר פנימי: </w:t>
      </w:r>
      <w:bookmarkStart w:name="LGS_Internal_ID" w:id="1"/>
      <w:r>
        <w:rPr>
          <w:rFonts w:hint="cs" w:cs="David"/>
          <w:sz w:val="20"/>
          <w:szCs w:val="20"/>
          <w:rtl/>
        </w:rPr>
        <w:t>2190335</w:t>
      </w:r>
      <w:bookmarkEnd w:id="1"/>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2"/>
      <w:r>
        <w:rPr>
          <w:rFonts w:hint="cs"/>
          <w:sz w:val="28"/>
          <w:szCs w:val="28"/>
          <w:rtl/>
        </w:rPr>
        <w:t>העשרים וארבע</w:t>
      </w:r>
      <w:bookmarkEnd w:id="2"/>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3"/>
      <w:r>
        <w:rPr>
          <w:b/>
          <w:bCs/>
          <w:rtl/>
        </w:rPr>
        <w:t>יוזמים:      חברי הכנסת</w:t>
      </w:r>
      <w:bookmarkEnd w:id="3"/>
      <w:r w:rsidRPr="00F67051" w:rsidR="00B35784">
        <w:rPr>
          <w:b/>
          <w:bCs/>
        </w:rPr>
        <w:tab/>
      </w:r>
      <w:bookmarkStart w:name="LGS_PM_Names" w:id="4"/>
      <w:r>
        <w:rPr>
          <w:rFonts w:hint="cs"/>
          <w:b/>
          <w:bCs/>
          <w:rtl/>
        </w:rPr>
        <w:t>אורי מקלב</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יעקב אשר</w:t>
      </w:r>
      <w:r>
        <w:br/>
      </w:r>
      <w:r>
        <w:rPr>
          <w:rFonts w:hint="cs"/>
          <w:b/>
          <w:bCs/>
          <w:rtl/>
        </w:rPr>
        <w:t xml:space="preserve"> </w:t>
      </w:r>
      <w:r>
        <w:tab/>
      </w:r>
      <w:r>
        <w:tab/>
      </w:r>
      <w:r>
        <w:tab/>
      </w:r>
      <w:r>
        <w:tab/>
      </w:r>
      <w:r>
        <w:rPr>
          <w:rFonts w:hint="cs"/>
          <w:b/>
          <w:bCs/>
          <w:rtl/>
        </w:rPr>
        <w:t>יצחק פינדרוס</w:t>
      </w:r>
      <w:bookmarkEnd w:id="4"/>
    </w:p>
    <w:p w:rsidRPr="00CF1AA2" w:rsidR="00E13C27" w:rsidP="0036422C" w:rsidRDefault="007D585A" w14:paraId="7F6961AA" w14:textId="39F9D96B">
      <w:pPr>
        <w:pStyle w:val="David"/>
        <w:spacing w:before="0" w:line="360" w:lineRule="auto"/>
        <w:ind w:left="3544"/>
        <w:rPr>
          <w:b/>
          <w:bCs/>
          <w:sz w:val="16"/>
          <w:szCs w:val="16"/>
          <w:rtl/>
        </w:rPr>
      </w:pPr>
      <w:bookmarkStart w:name="LGS_Join_List" w:id="5"/>
      <w:r>
        <w:rPr>
          <w:rtl/>
        </w:rPr>
        <w:t xml:space="preserve"> </w:t>
      </w:r>
      <w:bookmarkEnd w:id="5"/>
      <w:r w:rsidRPr="00CF1AA2" w:rsidR="002200A1">
        <w:rPr>
          <w:rFonts w:hint="cs"/>
          <w:rtl/>
        </w:rPr>
        <w:tab/>
      </w:r>
      <w:bookmarkStart w:name="LGS_PM_NamesJoin" w:id="6"/>
      <w:r>
        <w:rPr>
          <w:rFonts w:hint="cs"/>
          <w:rtl/>
        </w:rPr>
        <w:t xml:space="preserve"> </w:t>
      </w:r>
      <w:bookmarkEnd w:id="6"/>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904591" w:rsidRDefault="00904591" w14:paraId="7F6961AB" w14:textId="256138AA">
      <w:pPr>
        <w:pStyle w:val="David"/>
        <w:spacing w:before="0" w:line="240" w:lineRule="auto"/>
        <w:ind w:left="3544"/>
        <w:rPr>
          <w:rtl/>
        </w:rPr>
      </w:pPr>
      <w:r>
        <w:t xml:space="preserve">                                            </w:t>
      </w:r>
      <w:r w:rsidR="008F1308">
        <w:t xml:space="preserve"> </w:t>
      </w:r>
      <w:bookmarkStart w:name="Private_Number" w:id="7"/>
      <w:r xmlns:w="http://schemas.openxmlformats.org/wordprocessingml/2006/main">
        <w:rPr xmlns:w="http://schemas.openxmlformats.org/wordprocessingml/2006/main">
          <w:rFonts w:hint="cs"/>
          <w:rtl/>
        </w:rPr>
        <w:t xml:space="preserve">פ/3518/24</w:t>
      </w:r>
      <w:bookmarkEnd w:id="7"/>
    </w:p>
    <w:p w:rsidR="00E13C27" w:rsidP="00E13C27" w:rsidRDefault="00E13C27" w14:paraId="7F6961AC" w14:textId="77777777">
      <w:pPr>
        <w:spacing w:before="0" w:line="360" w:lineRule="auto"/>
        <w:ind w:left="2880" w:firstLine="720"/>
        <w:rPr>
          <w:rFonts w:cs="David"/>
          <w:sz w:val="26"/>
          <w:szCs w:val="26"/>
          <w:rtl/>
        </w:rPr>
      </w:pPr>
    </w:p>
    <w:p w:rsidRPr="00F67051" w:rsidR="00E13C27" w:rsidP="00422B4B" w:rsidRDefault="00A443CF" w14:paraId="7F6961AD" w14:textId="50472FBB">
      <w:pPr>
        <w:pStyle w:val="HeadHatzaotHok"/>
        <w:rPr>
          <w:rtl/>
        </w:rPr>
      </w:pPr>
      <w:bookmarkStart w:name="LGS_Subject" w:id="8"/>
      <w:r>
        <w:rPr>
          <w:rFonts w:hint="cs"/>
          <w:rtl/>
        </w:rPr>
        <w:t>הצעת חוק עבודת נשים (תיקון – זכאות להשתתפות בעלות מעון יום בתקופת הלידה וההורות), התשפ"ב</w:t>
      </w:r>
      <w:r w:rsidR="00422B4B">
        <w:rPr>
          <w:rFonts w:hint="eastAsia"/>
          <w:rtl/>
        </w:rPr>
        <w:t>–</w:t>
      </w:r>
      <w:r>
        <w:rPr>
          <w:rFonts w:hint="cs"/>
          <w:rtl/>
        </w:rPr>
        <w:t>2022</w:t>
      </w:r>
      <w:bookmarkEnd w:id="8"/>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1871"/>
        <w:gridCol w:w="624"/>
        <w:gridCol w:w="4648"/>
      </w:tblGrid>
      <w:tr w:rsidRPr="00C34DE2" w:rsidR="00197BBB" w:rsidTr="00C24C14" w14:paraId="318271DC" w14:textId="77777777">
        <w:trPr>
          <w:cantSplit/>
        </w:trPr>
        <w:tc>
          <w:tcPr>
            <w:tcW w:w="1871" w:type="dxa"/>
          </w:tcPr>
          <w:p w:rsidRPr="00773E80" w:rsidR="00197BBB" w:rsidP="00C24C14" w:rsidRDefault="00197BBB" w14:paraId="3C0520B8" w14:textId="77777777">
            <w:pPr>
              <w:pStyle w:val="TableSideHeading"/>
            </w:pPr>
            <w:r w:rsidRPr="00773E80">
              <w:rPr>
                <w:rFonts w:hint="eastAsia"/>
                <w:rtl/>
              </w:rPr>
              <w:t>הוספת</w:t>
            </w:r>
            <w:r w:rsidRPr="00773E80">
              <w:rPr>
                <w:rtl/>
              </w:rPr>
              <w:t xml:space="preserve"> </w:t>
            </w:r>
            <w:r w:rsidRPr="00773E80">
              <w:rPr>
                <w:rFonts w:hint="eastAsia"/>
                <w:rtl/>
              </w:rPr>
              <w:t>סעיף</w:t>
            </w:r>
            <w:r w:rsidRPr="00773E80">
              <w:rPr>
                <w:rtl/>
              </w:rPr>
              <w:t xml:space="preserve"> 22ב</w:t>
            </w:r>
          </w:p>
        </w:tc>
        <w:tc>
          <w:tcPr>
            <w:tcW w:w="624" w:type="dxa"/>
          </w:tcPr>
          <w:p w:rsidRPr="00773E80" w:rsidR="00197BBB" w:rsidP="00C24C14" w:rsidRDefault="00197BBB" w14:paraId="2BC4F65B" w14:textId="77777777">
            <w:pPr>
              <w:pStyle w:val="TableText"/>
              <w:jc w:val="both"/>
            </w:pPr>
            <w:r w:rsidRPr="00773E80">
              <w:rPr>
                <w:rtl/>
              </w:rPr>
              <w:t>1.</w:t>
            </w:r>
          </w:p>
        </w:tc>
        <w:tc>
          <w:tcPr>
            <w:tcW w:w="7143" w:type="dxa"/>
            <w:gridSpan w:val="3"/>
          </w:tcPr>
          <w:p w:rsidRPr="00773E80" w:rsidR="00197BBB" w:rsidP="00C24C14" w:rsidRDefault="00197BBB" w14:paraId="3E2BCDC9" w14:textId="77777777">
            <w:pPr>
              <w:pStyle w:val="TableBlock"/>
            </w:pPr>
            <w:r w:rsidRPr="00773E80">
              <w:rPr>
                <w:rFonts w:hint="eastAsia"/>
                <w:rtl/>
              </w:rPr>
              <w:t>בחוק</w:t>
            </w:r>
            <w:r w:rsidRPr="00773E80">
              <w:rPr>
                <w:rtl/>
              </w:rPr>
              <w:t xml:space="preserve"> </w:t>
            </w:r>
            <w:r w:rsidRPr="00773E80">
              <w:rPr>
                <w:rFonts w:hint="eastAsia"/>
                <w:rtl/>
              </w:rPr>
              <w:t>עבודת</w:t>
            </w:r>
            <w:r w:rsidRPr="00773E80">
              <w:rPr>
                <w:rtl/>
              </w:rPr>
              <w:t xml:space="preserve"> </w:t>
            </w:r>
            <w:r w:rsidRPr="00773E80">
              <w:rPr>
                <w:rFonts w:hint="eastAsia"/>
                <w:rtl/>
              </w:rPr>
              <w:t>נשים</w:t>
            </w:r>
            <w:r w:rsidRPr="00773E80">
              <w:rPr>
                <w:rtl/>
              </w:rPr>
              <w:t xml:space="preserve">, </w:t>
            </w:r>
            <w:r w:rsidRPr="00773E80">
              <w:rPr>
                <w:rFonts w:hint="eastAsia"/>
                <w:rtl/>
              </w:rPr>
              <w:t>התשי</w:t>
            </w:r>
            <w:r w:rsidRPr="00773E80">
              <w:rPr>
                <w:rtl/>
              </w:rPr>
              <w:t>"ד</w:t>
            </w:r>
            <w:r w:rsidRPr="00773E80">
              <w:rPr>
                <w:rFonts w:hint="eastAsia"/>
                <w:rtl/>
              </w:rPr>
              <w:t>–</w:t>
            </w:r>
            <w:r w:rsidRPr="00773E80">
              <w:rPr>
                <w:rtl/>
              </w:rPr>
              <w:t>1954</w:t>
            </w:r>
            <w:r w:rsidRPr="00FC7711">
              <w:rPr>
                <w:vertAlign w:val="superscript"/>
                <w:rtl/>
              </w:rPr>
              <w:footnoteReference w:id="2"/>
            </w:r>
            <w:r w:rsidRPr="00773E80">
              <w:rPr>
                <w:rtl/>
              </w:rPr>
              <w:t xml:space="preserve">, אחרי סעיף 22א יבוא: </w:t>
            </w:r>
          </w:p>
        </w:tc>
      </w:tr>
      <w:tr w:rsidR="00197BBB" w:rsidTr="00C24C14" w14:paraId="78AB36EE" w14:textId="77777777">
        <w:trPr>
          <w:cantSplit/>
        </w:trPr>
        <w:tc>
          <w:tcPr>
            <w:tcW w:w="1871" w:type="dxa"/>
          </w:tcPr>
          <w:p w:rsidR="00197BBB" w:rsidP="00C24C14" w:rsidRDefault="00197BBB" w14:paraId="7456D697" w14:textId="77777777">
            <w:pPr>
              <w:pStyle w:val="TableSideHeading"/>
              <w:keepLines w:val="0"/>
            </w:pPr>
          </w:p>
        </w:tc>
        <w:tc>
          <w:tcPr>
            <w:tcW w:w="624" w:type="dxa"/>
          </w:tcPr>
          <w:p w:rsidR="00197BBB" w:rsidP="00C24C14" w:rsidRDefault="00197BBB" w14:paraId="42735E9C" w14:textId="77777777">
            <w:pPr>
              <w:pStyle w:val="TableText"/>
              <w:keepLines w:val="0"/>
            </w:pPr>
          </w:p>
        </w:tc>
        <w:tc>
          <w:tcPr>
            <w:tcW w:w="1871" w:type="dxa"/>
          </w:tcPr>
          <w:p w:rsidRPr="00773E80" w:rsidR="00197BBB" w:rsidP="00C24C14" w:rsidRDefault="00197BBB" w14:paraId="5F0154F8" w14:textId="77777777">
            <w:pPr>
              <w:pStyle w:val="TableInnerSideHeading"/>
            </w:pPr>
            <w:r w:rsidRPr="00773E80">
              <w:rPr>
                <w:rtl/>
              </w:rPr>
              <w:t xml:space="preserve">"זכאות  להשתתפות בעלות מעון יום </w:t>
            </w:r>
            <w:r w:rsidRPr="00773E80">
              <w:rPr>
                <w:rFonts w:hint="eastAsia"/>
                <w:rtl/>
              </w:rPr>
              <w:t>בתקופת</w:t>
            </w:r>
            <w:r w:rsidRPr="00773E80">
              <w:rPr>
                <w:rtl/>
              </w:rPr>
              <w:t xml:space="preserve"> </w:t>
            </w:r>
            <w:r w:rsidRPr="00773E80">
              <w:rPr>
                <w:rFonts w:hint="eastAsia"/>
                <w:rtl/>
              </w:rPr>
              <w:t>הלידה</w:t>
            </w:r>
            <w:r w:rsidRPr="00773E80">
              <w:rPr>
                <w:rtl/>
              </w:rPr>
              <w:t xml:space="preserve"> </w:t>
            </w:r>
            <w:r w:rsidRPr="00773E80">
              <w:rPr>
                <w:rFonts w:hint="eastAsia"/>
                <w:rtl/>
              </w:rPr>
              <w:t>וההורות</w:t>
            </w:r>
            <w:r w:rsidRPr="00773E80">
              <w:rPr>
                <w:rtl/>
              </w:rPr>
              <w:t xml:space="preserve"> </w:t>
            </w:r>
          </w:p>
        </w:tc>
        <w:tc>
          <w:tcPr>
            <w:tcW w:w="624" w:type="dxa"/>
          </w:tcPr>
          <w:p w:rsidRPr="00773E80" w:rsidR="00197BBB" w:rsidP="00C24C14" w:rsidRDefault="00197BBB" w14:paraId="5125A72D" w14:textId="77777777">
            <w:pPr>
              <w:pStyle w:val="TableText"/>
              <w:jc w:val="both"/>
            </w:pPr>
            <w:r w:rsidRPr="00773E80">
              <w:rPr>
                <w:rtl/>
              </w:rPr>
              <w:t>22ב.</w:t>
            </w:r>
          </w:p>
        </w:tc>
        <w:tc>
          <w:tcPr>
            <w:tcW w:w="4648" w:type="dxa"/>
          </w:tcPr>
          <w:p w:rsidRPr="00773E80" w:rsidR="00197BBB" w:rsidP="00C24C14" w:rsidRDefault="00197BBB" w14:paraId="2C8B5792" w14:textId="77777777">
            <w:pPr>
              <w:pStyle w:val="TableBlock"/>
            </w:pPr>
            <w:r w:rsidRPr="00773E80">
              <w:rPr>
                <w:rFonts w:hint="eastAsia"/>
                <w:rtl/>
              </w:rPr>
              <w:t>השתתפות</w:t>
            </w:r>
            <w:r w:rsidRPr="00773E80">
              <w:rPr>
                <w:rtl/>
              </w:rPr>
              <w:t xml:space="preserve"> המדינה בעלות החזקת ילד במעון יום או במשפחתון, שהעובדת הייתה זכאית לה בטרם יציאתה </w:t>
            </w:r>
            <w:r w:rsidRPr="00773E80">
              <w:rPr>
                <w:rFonts w:hint="eastAsia"/>
                <w:rtl/>
              </w:rPr>
              <w:t>לתקופת</w:t>
            </w:r>
            <w:r w:rsidRPr="00773E80">
              <w:rPr>
                <w:rtl/>
              </w:rPr>
              <w:t xml:space="preserve"> </w:t>
            </w:r>
            <w:r w:rsidRPr="00773E80">
              <w:rPr>
                <w:rFonts w:hint="eastAsia"/>
                <w:rtl/>
              </w:rPr>
              <w:t>לידה</w:t>
            </w:r>
            <w:r w:rsidRPr="00773E80">
              <w:rPr>
                <w:rtl/>
              </w:rPr>
              <w:t xml:space="preserve"> </w:t>
            </w:r>
            <w:r w:rsidRPr="00773E80">
              <w:rPr>
                <w:rFonts w:hint="eastAsia"/>
                <w:rtl/>
              </w:rPr>
              <w:t>והורות</w:t>
            </w:r>
            <w:r w:rsidRPr="00773E80">
              <w:rPr>
                <w:rtl/>
              </w:rPr>
              <w:t xml:space="preserve">, תינתן לעובדת גם במהלך כל תקופת </w:t>
            </w:r>
            <w:r w:rsidRPr="00773E80">
              <w:rPr>
                <w:rFonts w:hint="eastAsia"/>
                <w:rtl/>
              </w:rPr>
              <w:t>הלידה</w:t>
            </w:r>
            <w:r w:rsidRPr="00773E80">
              <w:rPr>
                <w:rtl/>
              </w:rPr>
              <w:t xml:space="preserve"> </w:t>
            </w:r>
            <w:r w:rsidRPr="00773E80">
              <w:rPr>
                <w:rFonts w:hint="eastAsia"/>
                <w:rtl/>
              </w:rPr>
              <w:t>וההורות</w:t>
            </w:r>
            <w:r w:rsidRPr="00773E80">
              <w:rPr>
                <w:rtl/>
              </w:rPr>
              <w:t xml:space="preserve"> שלה היא זכאית לפי סעיף 6, ואם אינה זכאית – למשך תקופת </w:t>
            </w:r>
            <w:r w:rsidRPr="00773E80">
              <w:rPr>
                <w:rFonts w:hint="eastAsia"/>
                <w:rtl/>
              </w:rPr>
              <w:t>הלידה</w:t>
            </w:r>
            <w:r w:rsidRPr="00773E80">
              <w:rPr>
                <w:rtl/>
              </w:rPr>
              <w:t xml:space="preserve"> וההורות </w:t>
            </w:r>
            <w:r w:rsidRPr="00773E80">
              <w:rPr>
                <w:rFonts w:hint="eastAsia"/>
                <w:rtl/>
              </w:rPr>
              <w:t>שלה</w:t>
            </w:r>
            <w:r w:rsidRPr="00773E80">
              <w:rPr>
                <w:rtl/>
              </w:rPr>
              <w:t xml:space="preserve"> </w:t>
            </w:r>
            <w:r w:rsidRPr="00773E80">
              <w:rPr>
                <w:rFonts w:hint="eastAsia"/>
                <w:rtl/>
              </w:rPr>
              <w:t>הייתה</w:t>
            </w:r>
            <w:r w:rsidRPr="00773E80">
              <w:rPr>
                <w:rtl/>
              </w:rPr>
              <w:t xml:space="preserve"> </w:t>
            </w:r>
            <w:r w:rsidRPr="00773E80">
              <w:rPr>
                <w:rFonts w:hint="eastAsia"/>
                <w:rtl/>
              </w:rPr>
              <w:t>זכאית</w:t>
            </w:r>
            <w:r w:rsidRPr="00773E80">
              <w:rPr>
                <w:rtl/>
              </w:rPr>
              <w:t xml:space="preserve"> </w:t>
            </w:r>
            <w:r w:rsidRPr="00773E80">
              <w:rPr>
                <w:rFonts w:hint="eastAsia"/>
                <w:rtl/>
              </w:rPr>
              <w:t>אילו</w:t>
            </w:r>
            <w:r w:rsidRPr="00773E80">
              <w:rPr>
                <w:rtl/>
              </w:rPr>
              <w:t xml:space="preserve"> </w:t>
            </w:r>
            <w:r w:rsidRPr="00773E80">
              <w:rPr>
                <w:rFonts w:hint="eastAsia"/>
                <w:rtl/>
              </w:rPr>
              <w:t>חלו</w:t>
            </w:r>
            <w:r w:rsidRPr="00773E80">
              <w:rPr>
                <w:rtl/>
              </w:rPr>
              <w:t xml:space="preserve"> </w:t>
            </w:r>
            <w:r w:rsidRPr="00773E80">
              <w:rPr>
                <w:rFonts w:hint="eastAsia"/>
                <w:rtl/>
              </w:rPr>
              <w:t>לגביה</w:t>
            </w:r>
            <w:r w:rsidRPr="00773E80">
              <w:rPr>
                <w:rtl/>
              </w:rPr>
              <w:t xml:space="preserve"> </w:t>
            </w:r>
            <w:r w:rsidRPr="00773E80">
              <w:rPr>
                <w:rFonts w:hint="eastAsia"/>
                <w:rtl/>
              </w:rPr>
              <w:t>הוראות</w:t>
            </w:r>
            <w:r w:rsidRPr="00773E80">
              <w:rPr>
                <w:rtl/>
              </w:rPr>
              <w:t xml:space="preserve"> </w:t>
            </w:r>
            <w:r w:rsidRPr="00773E80">
              <w:rPr>
                <w:rFonts w:hint="eastAsia"/>
                <w:rtl/>
              </w:rPr>
              <w:t>הסעיף</w:t>
            </w:r>
            <w:r w:rsidRPr="00773E80">
              <w:rPr>
                <w:rtl/>
              </w:rPr>
              <w:t xml:space="preserve"> </w:t>
            </w:r>
            <w:r w:rsidRPr="00773E80">
              <w:rPr>
                <w:rFonts w:hint="eastAsia"/>
                <w:rtl/>
              </w:rPr>
              <w:t>האמור</w:t>
            </w:r>
            <w:r w:rsidRPr="00773E80">
              <w:rPr>
                <w:rtl/>
              </w:rPr>
              <w:t>."</w:t>
            </w:r>
          </w:p>
        </w:tc>
      </w:tr>
    </w:tbl>
    <w:p w:rsidR="00197BBB" w:rsidP="00197BBB" w:rsidRDefault="00197BBB" w14:paraId="5B673FD2" w14:textId="77777777">
      <w:pPr>
        <w:pStyle w:val="HeadDivreiHesber"/>
        <w:rPr>
          <w:rtl/>
        </w:rPr>
      </w:pPr>
      <w:r w:rsidRPr="0027450A">
        <w:rPr>
          <w:rFonts w:hint="cs"/>
          <w:rtl/>
        </w:rPr>
        <w:t>דברי הסבר</w:t>
      </w:r>
    </w:p>
    <w:p w:rsidRPr="00FC7711" w:rsidR="00197BBB" w:rsidP="00197BBB" w:rsidRDefault="00197BBB" w14:paraId="230842C4" w14:textId="77777777">
      <w:pPr>
        <w:pStyle w:val="Hesber"/>
        <w:rPr>
          <w:rtl/>
        </w:rPr>
      </w:pPr>
      <w:r w:rsidRPr="00FC7711">
        <w:rPr>
          <w:rFonts w:hint="eastAsia"/>
          <w:rtl/>
        </w:rPr>
        <w:t>חוק</w:t>
      </w:r>
      <w:r w:rsidRPr="00FC7711">
        <w:rPr>
          <w:rtl/>
        </w:rPr>
        <w:t xml:space="preserve"> </w:t>
      </w:r>
      <w:r w:rsidRPr="00FC7711">
        <w:rPr>
          <w:rFonts w:hint="eastAsia"/>
          <w:rtl/>
        </w:rPr>
        <w:t>עבודת</w:t>
      </w:r>
      <w:r w:rsidRPr="00FC7711">
        <w:rPr>
          <w:rtl/>
        </w:rPr>
        <w:t xml:space="preserve"> </w:t>
      </w:r>
      <w:r w:rsidRPr="00FC7711">
        <w:rPr>
          <w:rFonts w:hint="eastAsia"/>
          <w:rtl/>
        </w:rPr>
        <w:t>נשים</w:t>
      </w:r>
      <w:r w:rsidRPr="00FC7711">
        <w:rPr>
          <w:rtl/>
        </w:rPr>
        <w:t xml:space="preserve">, </w:t>
      </w:r>
      <w:r w:rsidRPr="00FC7711">
        <w:rPr>
          <w:rFonts w:hint="eastAsia"/>
          <w:rtl/>
        </w:rPr>
        <w:t>התשי</w:t>
      </w:r>
      <w:r w:rsidRPr="00FC7711">
        <w:rPr>
          <w:rtl/>
        </w:rPr>
        <w:t>"ד</w:t>
      </w:r>
      <w:r w:rsidRPr="00FC7711">
        <w:rPr>
          <w:rFonts w:hint="eastAsia"/>
          <w:rtl/>
        </w:rPr>
        <w:t>–</w:t>
      </w:r>
      <w:r w:rsidRPr="00FC7711">
        <w:rPr>
          <w:rtl/>
        </w:rPr>
        <w:t xml:space="preserve">1954, קובע את זכאותה של אם עובדת שילדה </w:t>
      </w:r>
      <w:r w:rsidRPr="00FC7711">
        <w:rPr>
          <w:rFonts w:hint="eastAsia"/>
          <w:rtl/>
        </w:rPr>
        <w:t>לתקופת</w:t>
      </w:r>
      <w:r w:rsidRPr="00FC7711">
        <w:rPr>
          <w:rtl/>
        </w:rPr>
        <w:t xml:space="preserve"> </w:t>
      </w:r>
      <w:r w:rsidRPr="00FC7711">
        <w:rPr>
          <w:rFonts w:hint="eastAsia"/>
          <w:rtl/>
        </w:rPr>
        <w:t>לידה</w:t>
      </w:r>
      <w:r w:rsidRPr="00FC7711">
        <w:rPr>
          <w:rtl/>
        </w:rPr>
        <w:t xml:space="preserve"> </w:t>
      </w:r>
      <w:r w:rsidRPr="00FC7711">
        <w:rPr>
          <w:rFonts w:hint="eastAsia"/>
          <w:rtl/>
        </w:rPr>
        <w:t>והורות</w:t>
      </w:r>
      <w:r w:rsidRPr="00FC7711">
        <w:rPr>
          <w:rtl/>
        </w:rPr>
        <w:t xml:space="preserve">. </w:t>
      </w:r>
      <w:r w:rsidRPr="00FC7711">
        <w:rPr>
          <w:rFonts w:hint="eastAsia"/>
          <w:rtl/>
        </w:rPr>
        <w:t>תקופת</w:t>
      </w:r>
      <w:r w:rsidRPr="00FC7711">
        <w:rPr>
          <w:rtl/>
        </w:rPr>
        <w:t xml:space="preserve"> </w:t>
      </w:r>
      <w:r w:rsidRPr="00FC7711">
        <w:rPr>
          <w:rFonts w:hint="eastAsia"/>
          <w:rtl/>
        </w:rPr>
        <w:t>הלידה</w:t>
      </w:r>
      <w:r w:rsidRPr="00FC7711">
        <w:rPr>
          <w:rtl/>
        </w:rPr>
        <w:t xml:space="preserve"> </w:t>
      </w:r>
      <w:r w:rsidRPr="00FC7711">
        <w:rPr>
          <w:rFonts w:hint="eastAsia"/>
          <w:rtl/>
        </w:rPr>
        <w:t>וההורות</w:t>
      </w:r>
      <w:r w:rsidRPr="00FC7711">
        <w:rPr>
          <w:rtl/>
        </w:rPr>
        <w:t xml:space="preserve"> היא עשרים ושישה שבועות, והעובדת רשאית לקצר את </w:t>
      </w:r>
      <w:r w:rsidRPr="00FC7711">
        <w:rPr>
          <w:rFonts w:hint="eastAsia"/>
          <w:rtl/>
        </w:rPr>
        <w:t>תקופת</w:t>
      </w:r>
      <w:r w:rsidRPr="00FC7711">
        <w:rPr>
          <w:rtl/>
        </w:rPr>
        <w:t xml:space="preserve"> </w:t>
      </w:r>
      <w:r w:rsidRPr="00FC7711">
        <w:rPr>
          <w:rFonts w:hint="eastAsia"/>
          <w:rtl/>
        </w:rPr>
        <w:t>הלידה</w:t>
      </w:r>
      <w:r w:rsidRPr="00FC7711">
        <w:rPr>
          <w:rtl/>
        </w:rPr>
        <w:t xml:space="preserve"> </w:t>
      </w:r>
      <w:r w:rsidRPr="00FC7711">
        <w:rPr>
          <w:rFonts w:hint="eastAsia"/>
          <w:rtl/>
        </w:rPr>
        <w:t>וההורות</w:t>
      </w:r>
      <w:r w:rsidRPr="00FC7711">
        <w:rPr>
          <w:rtl/>
        </w:rPr>
        <w:t xml:space="preserve"> לתקופה של </w:t>
      </w:r>
      <w:r>
        <w:rPr>
          <w:rFonts w:hint="cs"/>
          <w:rtl/>
        </w:rPr>
        <w:t>חמישה עשר</w:t>
      </w:r>
      <w:r w:rsidRPr="00FC7711">
        <w:rPr>
          <w:rtl/>
        </w:rPr>
        <w:t xml:space="preserve"> שבועות. הוראה זו חלה על עובדת שעבדה שנים עשר חודשים לפחות אצל אותו מ</w:t>
      </w:r>
      <w:r w:rsidRPr="00FC7711">
        <w:rPr>
          <w:rFonts w:hint="cs"/>
          <w:rtl/>
        </w:rPr>
        <w:t xml:space="preserve">עסיק </w:t>
      </w:r>
      <w:r w:rsidRPr="00FC7711">
        <w:rPr>
          <w:rtl/>
        </w:rPr>
        <w:t>או באותו מקום עבודה.</w:t>
      </w:r>
    </w:p>
    <w:p w:rsidRPr="00FC7711" w:rsidR="00197BBB" w:rsidP="00197BBB" w:rsidRDefault="00197BBB" w14:paraId="0EF62D20" w14:textId="77777777">
      <w:pPr>
        <w:pStyle w:val="Hesber"/>
        <w:rPr>
          <w:rtl/>
        </w:rPr>
      </w:pPr>
      <w:r w:rsidRPr="00FC7711">
        <w:rPr>
          <w:rFonts w:hint="eastAsia"/>
          <w:rtl/>
        </w:rPr>
        <w:t>בתקופת</w:t>
      </w:r>
      <w:r w:rsidRPr="00FC7711">
        <w:rPr>
          <w:rtl/>
        </w:rPr>
        <w:t xml:space="preserve"> </w:t>
      </w:r>
      <w:r w:rsidRPr="00FC7711">
        <w:rPr>
          <w:rFonts w:hint="eastAsia"/>
          <w:rtl/>
        </w:rPr>
        <w:t>הלידה</w:t>
      </w:r>
      <w:r w:rsidRPr="00FC7711">
        <w:rPr>
          <w:rtl/>
        </w:rPr>
        <w:t xml:space="preserve"> </w:t>
      </w:r>
      <w:r w:rsidRPr="00FC7711">
        <w:rPr>
          <w:rFonts w:hint="eastAsia"/>
          <w:rtl/>
        </w:rPr>
        <w:t>וההורות</w:t>
      </w:r>
      <w:r w:rsidRPr="00FC7711">
        <w:rPr>
          <w:rtl/>
        </w:rPr>
        <w:t xml:space="preserve">, זכאית האם להשתתפות בעלות החזקת ילדיה במעון יום או במשפחתון כפי שניתן לה בזמן שעבדה לפני יציאתה </w:t>
      </w:r>
      <w:r w:rsidRPr="00FC7711">
        <w:rPr>
          <w:rFonts w:hint="eastAsia"/>
          <w:rtl/>
        </w:rPr>
        <w:t>לתקופת</w:t>
      </w:r>
      <w:r w:rsidRPr="00FC7711">
        <w:rPr>
          <w:rtl/>
        </w:rPr>
        <w:t xml:space="preserve"> </w:t>
      </w:r>
      <w:r w:rsidRPr="00FC7711">
        <w:rPr>
          <w:rFonts w:hint="eastAsia"/>
          <w:rtl/>
        </w:rPr>
        <w:t>הלידה</w:t>
      </w:r>
      <w:r w:rsidRPr="00FC7711">
        <w:rPr>
          <w:rtl/>
        </w:rPr>
        <w:t xml:space="preserve"> </w:t>
      </w:r>
      <w:r w:rsidRPr="00FC7711">
        <w:rPr>
          <w:rFonts w:hint="eastAsia"/>
          <w:rtl/>
        </w:rPr>
        <w:t>וההורות</w:t>
      </w:r>
      <w:r w:rsidRPr="00FC7711">
        <w:rPr>
          <w:rtl/>
        </w:rPr>
        <w:t>, אך זכאות</w:t>
      </w:r>
      <w:r w:rsidRPr="00FC7711">
        <w:rPr>
          <w:rFonts w:hint="cs"/>
          <w:rtl/>
        </w:rPr>
        <w:t xml:space="preserve"> זו</w:t>
      </w:r>
      <w:r w:rsidRPr="00FC7711">
        <w:rPr>
          <w:rtl/>
        </w:rPr>
        <w:t xml:space="preserve"> מוגבלת לתקופה של </w:t>
      </w:r>
      <w:r>
        <w:rPr>
          <w:rFonts w:hint="cs"/>
          <w:rtl/>
        </w:rPr>
        <w:t>חמישה עשר</w:t>
      </w:r>
      <w:r>
        <w:rPr>
          <w:rtl/>
        </w:rPr>
        <w:t xml:space="preserve"> שבועות בלבד שבעד</w:t>
      </w:r>
      <w:r>
        <w:rPr>
          <w:rFonts w:hint="cs"/>
          <w:rtl/>
        </w:rPr>
        <w:t>ה</w:t>
      </w:r>
      <w:r w:rsidRPr="00FC7711">
        <w:rPr>
          <w:rtl/>
        </w:rPr>
        <w:t xml:space="preserve"> קיימת זכאות לדמי לידה. </w:t>
      </w:r>
    </w:p>
    <w:p w:rsidRPr="00FC7711" w:rsidR="00197BBB" w:rsidP="00197BBB" w:rsidRDefault="00197BBB" w14:paraId="152DE8E3" w14:textId="77777777">
      <w:pPr>
        <w:pStyle w:val="Hesber"/>
        <w:rPr>
          <w:rtl/>
        </w:rPr>
      </w:pPr>
      <w:r w:rsidRPr="00FC7711">
        <w:rPr>
          <w:rFonts w:hint="eastAsia"/>
          <w:rtl/>
        </w:rPr>
        <w:t>אם</w:t>
      </w:r>
      <w:r w:rsidRPr="00FC7711">
        <w:rPr>
          <w:rtl/>
        </w:rPr>
        <w:t xml:space="preserve"> שלא קיצרה את </w:t>
      </w:r>
      <w:r w:rsidRPr="00FC7711">
        <w:rPr>
          <w:rFonts w:hint="eastAsia"/>
          <w:rtl/>
        </w:rPr>
        <w:t>תקופת</w:t>
      </w:r>
      <w:r w:rsidRPr="00FC7711">
        <w:rPr>
          <w:rtl/>
        </w:rPr>
        <w:t xml:space="preserve"> </w:t>
      </w:r>
      <w:r w:rsidRPr="00FC7711">
        <w:rPr>
          <w:rFonts w:hint="eastAsia"/>
          <w:rtl/>
        </w:rPr>
        <w:t>הלידה</w:t>
      </w:r>
      <w:r w:rsidRPr="00FC7711">
        <w:rPr>
          <w:rtl/>
        </w:rPr>
        <w:t xml:space="preserve"> </w:t>
      </w:r>
      <w:r w:rsidRPr="00FC7711">
        <w:rPr>
          <w:rFonts w:hint="eastAsia"/>
          <w:rtl/>
        </w:rPr>
        <w:t>וההורות</w:t>
      </w:r>
      <w:r w:rsidRPr="00FC7711">
        <w:rPr>
          <w:rtl/>
        </w:rPr>
        <w:t xml:space="preserve">, לא זכאית להמשך השתתפות בעלות החזקת ילד במעון במהלך יתרת תקופת </w:t>
      </w:r>
      <w:r w:rsidRPr="00FC7711">
        <w:rPr>
          <w:rFonts w:hint="eastAsia"/>
          <w:rtl/>
        </w:rPr>
        <w:t>הלידה</w:t>
      </w:r>
      <w:r w:rsidRPr="00FC7711">
        <w:rPr>
          <w:rtl/>
        </w:rPr>
        <w:t xml:space="preserve"> </w:t>
      </w:r>
      <w:r w:rsidRPr="00FC7711">
        <w:rPr>
          <w:rFonts w:hint="eastAsia"/>
          <w:rtl/>
        </w:rPr>
        <w:t>וההורות</w:t>
      </w:r>
      <w:r w:rsidRPr="00FC7711">
        <w:rPr>
          <w:rtl/>
        </w:rPr>
        <w:t xml:space="preserve">. </w:t>
      </w:r>
    </w:p>
    <w:p w:rsidRPr="00FC7711" w:rsidR="00197BBB" w:rsidP="00197BBB" w:rsidRDefault="00197BBB" w14:paraId="1D4C1227" w14:textId="77777777">
      <w:pPr>
        <w:pStyle w:val="Hesber"/>
        <w:rPr>
          <w:rtl/>
        </w:rPr>
      </w:pPr>
      <w:r w:rsidRPr="00FC7711">
        <w:rPr>
          <w:rtl/>
        </w:rPr>
        <w:t xml:space="preserve">נשים רבות נאלצות לוותר על זכותן למימוש כל תקופת </w:t>
      </w:r>
      <w:r w:rsidRPr="00FC7711">
        <w:rPr>
          <w:rFonts w:hint="eastAsia"/>
          <w:rtl/>
        </w:rPr>
        <w:t>הלידה</w:t>
      </w:r>
      <w:r w:rsidRPr="00FC7711">
        <w:rPr>
          <w:rtl/>
        </w:rPr>
        <w:t xml:space="preserve"> </w:t>
      </w:r>
      <w:r w:rsidRPr="00FC7711">
        <w:rPr>
          <w:rFonts w:hint="eastAsia"/>
          <w:rtl/>
        </w:rPr>
        <w:t>וההורות</w:t>
      </w:r>
      <w:r w:rsidRPr="00FC7711">
        <w:rPr>
          <w:rtl/>
        </w:rPr>
        <w:t xml:space="preserve"> מאחר </w:t>
      </w:r>
      <w:r>
        <w:rPr>
          <w:rFonts w:hint="cs"/>
          <w:rtl/>
        </w:rPr>
        <w:t xml:space="preserve">שאינן </w:t>
      </w:r>
      <w:r w:rsidRPr="00FC7711">
        <w:rPr>
          <w:rtl/>
        </w:rPr>
        <w:t>זכאי</w:t>
      </w:r>
      <w:r>
        <w:rPr>
          <w:rFonts w:hint="cs"/>
          <w:rtl/>
        </w:rPr>
        <w:t>ו</w:t>
      </w:r>
      <w:r w:rsidRPr="00FC7711">
        <w:rPr>
          <w:rtl/>
        </w:rPr>
        <w:t xml:space="preserve">ת להשתתפות בעלויות המעון </w:t>
      </w:r>
      <w:r>
        <w:rPr>
          <w:rFonts w:hint="cs"/>
          <w:rtl/>
        </w:rPr>
        <w:t>החל מ</w:t>
      </w:r>
      <w:r w:rsidRPr="00FC7711">
        <w:rPr>
          <w:rtl/>
        </w:rPr>
        <w:t>השבוע ה-</w:t>
      </w:r>
      <w:r>
        <w:rPr>
          <w:rFonts w:hint="cs"/>
          <w:rtl/>
        </w:rPr>
        <w:t>16</w:t>
      </w:r>
      <w:r w:rsidRPr="00FC7711">
        <w:rPr>
          <w:rtl/>
        </w:rPr>
        <w:t xml:space="preserve"> ועד לשבוע ה-26</w:t>
      </w:r>
      <w:r>
        <w:rPr>
          <w:rFonts w:hint="cs"/>
          <w:rtl/>
        </w:rPr>
        <w:t xml:space="preserve"> לתקופת הלידה וההורות ו</w:t>
      </w:r>
      <w:r w:rsidRPr="00FC7711">
        <w:rPr>
          <w:rtl/>
        </w:rPr>
        <w:t xml:space="preserve">אין ביכולתן </w:t>
      </w:r>
      <w:r w:rsidRPr="00FC7711">
        <w:rPr>
          <w:rtl/>
        </w:rPr>
        <w:lastRenderedPageBreak/>
        <w:t>לעמוד בתשלום מלא למעון דווקא בתקופה שבה אין להן שכר וגם לא משולמים להן דמי לידה. אם האם תוציא את הילד מהמעון, הרי שהיא מסתכנת בכך שכאשר היא תרצה לחזור לעבודתה לא יהיה לילד מקום באותו מעון.</w:t>
      </w:r>
    </w:p>
    <w:p w:rsidRPr="00FC7711" w:rsidR="00197BBB" w:rsidP="00197BBB" w:rsidRDefault="00197BBB" w14:paraId="0A6112CD" w14:textId="77777777">
      <w:pPr>
        <w:pStyle w:val="Hesber"/>
        <w:rPr>
          <w:rtl/>
        </w:rPr>
      </w:pPr>
      <w:r w:rsidRPr="00FC7711">
        <w:rPr>
          <w:rFonts w:hint="eastAsia"/>
          <w:rtl/>
        </w:rPr>
        <w:t>הוראה</w:t>
      </w:r>
      <w:r w:rsidRPr="00FC7711">
        <w:rPr>
          <w:rtl/>
        </w:rPr>
        <w:t xml:space="preserve"> </w:t>
      </w:r>
      <w:r w:rsidRPr="00FC7711">
        <w:rPr>
          <w:rFonts w:hint="eastAsia"/>
          <w:rtl/>
        </w:rPr>
        <w:t>זו</w:t>
      </w:r>
      <w:r w:rsidRPr="00FC7711">
        <w:rPr>
          <w:rtl/>
        </w:rPr>
        <w:t xml:space="preserve"> </w:t>
      </w:r>
      <w:r w:rsidRPr="00FC7711">
        <w:rPr>
          <w:rFonts w:hint="eastAsia"/>
          <w:rtl/>
        </w:rPr>
        <w:t>מסכלת</w:t>
      </w:r>
      <w:r w:rsidRPr="00FC7711">
        <w:rPr>
          <w:rtl/>
        </w:rPr>
        <w:t xml:space="preserve"> </w:t>
      </w:r>
      <w:r w:rsidRPr="00FC7711">
        <w:rPr>
          <w:rFonts w:hint="eastAsia"/>
          <w:rtl/>
        </w:rPr>
        <w:t>את</w:t>
      </w:r>
      <w:r w:rsidRPr="00FC7711">
        <w:rPr>
          <w:rtl/>
        </w:rPr>
        <w:t xml:space="preserve"> </w:t>
      </w:r>
      <w:r w:rsidRPr="00FC7711">
        <w:rPr>
          <w:rFonts w:hint="eastAsia"/>
          <w:rtl/>
        </w:rPr>
        <w:t>כוונת</w:t>
      </w:r>
      <w:r w:rsidRPr="00FC7711">
        <w:rPr>
          <w:rtl/>
        </w:rPr>
        <w:t xml:space="preserve"> </w:t>
      </w:r>
      <w:r w:rsidRPr="00FC7711">
        <w:rPr>
          <w:rFonts w:hint="eastAsia"/>
          <w:rtl/>
        </w:rPr>
        <w:t>המחוקק</w:t>
      </w:r>
      <w:r w:rsidRPr="00FC7711">
        <w:rPr>
          <w:rtl/>
        </w:rPr>
        <w:t xml:space="preserve"> </w:t>
      </w:r>
      <w:r w:rsidRPr="00FC7711">
        <w:rPr>
          <w:rFonts w:hint="eastAsia"/>
          <w:rtl/>
        </w:rPr>
        <w:t>אשר</w:t>
      </w:r>
      <w:r w:rsidRPr="00FC7711">
        <w:rPr>
          <w:rtl/>
        </w:rPr>
        <w:t xml:space="preserve"> </w:t>
      </w:r>
      <w:r w:rsidRPr="00FC7711">
        <w:rPr>
          <w:rFonts w:hint="eastAsia"/>
          <w:rtl/>
        </w:rPr>
        <w:t>האריך</w:t>
      </w:r>
      <w:r w:rsidRPr="00FC7711">
        <w:rPr>
          <w:rtl/>
        </w:rPr>
        <w:t xml:space="preserve"> </w:t>
      </w:r>
      <w:r w:rsidRPr="00FC7711">
        <w:rPr>
          <w:rFonts w:hint="eastAsia"/>
          <w:rtl/>
        </w:rPr>
        <w:t>את</w:t>
      </w:r>
      <w:r w:rsidRPr="00FC7711">
        <w:rPr>
          <w:rtl/>
        </w:rPr>
        <w:t xml:space="preserve"> </w:t>
      </w:r>
      <w:r w:rsidRPr="00FC7711">
        <w:rPr>
          <w:rFonts w:hint="eastAsia"/>
          <w:rtl/>
        </w:rPr>
        <w:t>חופשת</w:t>
      </w:r>
      <w:r w:rsidRPr="00FC7711">
        <w:rPr>
          <w:rtl/>
        </w:rPr>
        <w:t xml:space="preserve"> </w:t>
      </w:r>
      <w:r w:rsidRPr="00FC7711">
        <w:rPr>
          <w:rFonts w:hint="eastAsia"/>
          <w:rtl/>
        </w:rPr>
        <w:t>הלידה</w:t>
      </w:r>
      <w:r w:rsidRPr="00FC7711">
        <w:rPr>
          <w:rtl/>
        </w:rPr>
        <w:t xml:space="preserve"> </w:t>
      </w:r>
      <w:r w:rsidRPr="00FC7711">
        <w:rPr>
          <w:rFonts w:hint="eastAsia"/>
          <w:rtl/>
        </w:rPr>
        <w:t>מתוך</w:t>
      </w:r>
      <w:r w:rsidRPr="00FC7711">
        <w:rPr>
          <w:rtl/>
        </w:rPr>
        <w:t xml:space="preserve"> </w:t>
      </w:r>
      <w:r w:rsidRPr="00FC7711">
        <w:rPr>
          <w:rFonts w:hint="eastAsia"/>
          <w:rtl/>
        </w:rPr>
        <w:t>רצון</w:t>
      </w:r>
      <w:r w:rsidRPr="00FC7711">
        <w:rPr>
          <w:rtl/>
        </w:rPr>
        <w:t xml:space="preserve"> </w:t>
      </w:r>
      <w:r w:rsidRPr="00FC7711">
        <w:rPr>
          <w:rFonts w:hint="eastAsia"/>
          <w:rtl/>
        </w:rPr>
        <w:t>לאפשר</w:t>
      </w:r>
      <w:r w:rsidRPr="00FC7711">
        <w:rPr>
          <w:rtl/>
        </w:rPr>
        <w:t xml:space="preserve"> </w:t>
      </w:r>
      <w:r w:rsidRPr="00FC7711">
        <w:rPr>
          <w:rFonts w:hint="eastAsia"/>
          <w:rtl/>
        </w:rPr>
        <w:t>לאם</w:t>
      </w:r>
      <w:r w:rsidRPr="00FC7711">
        <w:rPr>
          <w:rtl/>
        </w:rPr>
        <w:t xml:space="preserve"> </w:t>
      </w:r>
      <w:r w:rsidRPr="00FC7711">
        <w:rPr>
          <w:rFonts w:hint="eastAsia"/>
          <w:rtl/>
        </w:rPr>
        <w:t>לשהות</w:t>
      </w:r>
      <w:r w:rsidRPr="00FC7711">
        <w:rPr>
          <w:rtl/>
        </w:rPr>
        <w:t xml:space="preserve"> </w:t>
      </w:r>
      <w:r w:rsidRPr="00FC7711">
        <w:rPr>
          <w:rFonts w:hint="eastAsia"/>
          <w:rtl/>
        </w:rPr>
        <w:t>עם</w:t>
      </w:r>
      <w:r w:rsidRPr="00FC7711">
        <w:rPr>
          <w:rtl/>
        </w:rPr>
        <w:t xml:space="preserve"> </w:t>
      </w:r>
      <w:r w:rsidRPr="00FC7711">
        <w:rPr>
          <w:rFonts w:hint="eastAsia"/>
          <w:rtl/>
        </w:rPr>
        <w:t>הרך</w:t>
      </w:r>
      <w:r w:rsidRPr="00FC7711">
        <w:rPr>
          <w:rtl/>
        </w:rPr>
        <w:t xml:space="preserve"> </w:t>
      </w:r>
      <w:r w:rsidRPr="00FC7711">
        <w:rPr>
          <w:rFonts w:hint="eastAsia"/>
          <w:rtl/>
        </w:rPr>
        <w:t>הילוד</w:t>
      </w:r>
      <w:r w:rsidRPr="00FC7711">
        <w:rPr>
          <w:rtl/>
        </w:rPr>
        <w:t xml:space="preserve">, </w:t>
      </w:r>
      <w:r w:rsidRPr="00FC7711">
        <w:rPr>
          <w:rFonts w:hint="eastAsia"/>
          <w:rtl/>
        </w:rPr>
        <w:t>למשך</w:t>
      </w:r>
      <w:r w:rsidRPr="00FC7711">
        <w:rPr>
          <w:rtl/>
        </w:rPr>
        <w:t xml:space="preserve"> </w:t>
      </w:r>
      <w:r w:rsidRPr="00FC7711">
        <w:rPr>
          <w:rFonts w:hint="eastAsia"/>
          <w:rtl/>
        </w:rPr>
        <w:t>חצי</w:t>
      </w:r>
      <w:r w:rsidRPr="00FC7711">
        <w:rPr>
          <w:rtl/>
        </w:rPr>
        <w:t xml:space="preserve"> </w:t>
      </w:r>
      <w:r w:rsidRPr="00FC7711">
        <w:rPr>
          <w:rFonts w:hint="eastAsia"/>
          <w:rtl/>
        </w:rPr>
        <w:t>שנה</w:t>
      </w:r>
      <w:r w:rsidRPr="00FC7711">
        <w:rPr>
          <w:rtl/>
        </w:rPr>
        <w:t>.</w:t>
      </w:r>
    </w:p>
    <w:p w:rsidRPr="00FC7711" w:rsidR="00197BBB" w:rsidP="00197BBB" w:rsidRDefault="00197BBB" w14:paraId="491AF187" w14:textId="77777777">
      <w:pPr>
        <w:pStyle w:val="Hesber"/>
        <w:rPr>
          <w:rtl/>
        </w:rPr>
      </w:pPr>
      <w:r w:rsidRPr="00FC7711">
        <w:rPr>
          <w:rFonts w:hint="eastAsia"/>
          <w:rtl/>
        </w:rPr>
        <w:t>מוצע</w:t>
      </w:r>
      <w:r w:rsidRPr="00FC7711">
        <w:rPr>
          <w:rtl/>
        </w:rPr>
        <w:t xml:space="preserve"> לקבוע כי כל מי שהייתה זכאית לפני יציאתה </w:t>
      </w:r>
      <w:r w:rsidRPr="00FC7711">
        <w:rPr>
          <w:rFonts w:hint="eastAsia"/>
          <w:rtl/>
        </w:rPr>
        <w:t>לתקופת</w:t>
      </w:r>
      <w:r w:rsidRPr="00FC7711">
        <w:rPr>
          <w:rtl/>
        </w:rPr>
        <w:t xml:space="preserve"> לידה והורות </w:t>
      </w:r>
      <w:r w:rsidRPr="00FC7711">
        <w:rPr>
          <w:rFonts w:hint="eastAsia"/>
          <w:rtl/>
        </w:rPr>
        <w:t>להשתתפות</w:t>
      </w:r>
      <w:r w:rsidRPr="00FC7711">
        <w:rPr>
          <w:rtl/>
        </w:rPr>
        <w:t xml:space="preserve"> בעלות החזקת ילדיה במעון תהיה זכאית להשתתפות זו לכל אורך תקופת </w:t>
      </w:r>
      <w:r w:rsidRPr="00FC7711">
        <w:rPr>
          <w:rFonts w:hint="eastAsia"/>
          <w:rtl/>
        </w:rPr>
        <w:t>הלידה</w:t>
      </w:r>
      <w:r w:rsidRPr="00FC7711">
        <w:rPr>
          <w:rtl/>
        </w:rPr>
        <w:t xml:space="preserve"> </w:t>
      </w:r>
      <w:r w:rsidRPr="00FC7711">
        <w:rPr>
          <w:rFonts w:hint="eastAsia"/>
          <w:rtl/>
        </w:rPr>
        <w:t>וההורות</w:t>
      </w:r>
      <w:r w:rsidRPr="00FC7711">
        <w:rPr>
          <w:rtl/>
        </w:rPr>
        <w:t xml:space="preserve"> לה היא זכאית על פי חוק.</w:t>
      </w:r>
    </w:p>
    <w:p w:rsidRPr="00FC7711" w:rsidR="00197BBB" w:rsidP="00197BBB" w:rsidRDefault="00197BBB" w14:paraId="29B0A495" w14:textId="77777777">
      <w:pPr>
        <w:pStyle w:val="Hesber"/>
        <w:rPr>
          <w:rtl/>
        </w:rPr>
      </w:pPr>
      <w:r w:rsidRPr="00FC7711">
        <w:rPr>
          <w:rFonts w:hint="eastAsia"/>
          <w:rtl/>
        </w:rPr>
        <w:t>מוצע</w:t>
      </w:r>
      <w:r w:rsidRPr="00FC7711">
        <w:rPr>
          <w:rtl/>
        </w:rPr>
        <w:t xml:space="preserve"> לקבוע כי הוראה זו תחול גם לגבי עובדות עצמאיות. </w:t>
      </w:r>
    </w:p>
    <w:p w:rsidR="00197BBB" w:rsidP="00422B4B" w:rsidRDefault="00197BBB" w14:paraId="230F4732" w14:textId="29A28AA4">
      <w:pPr>
        <w:pStyle w:val="Hesber"/>
        <w:rPr>
          <w:rtl/>
        </w:rPr>
      </w:pPr>
      <w:r w:rsidRPr="00FC7711">
        <w:rPr>
          <w:rFonts w:hint="eastAsia"/>
          <w:rtl/>
        </w:rPr>
        <w:t>הצע</w:t>
      </w:r>
      <w:r>
        <w:rPr>
          <w:rFonts w:hint="cs"/>
          <w:rtl/>
        </w:rPr>
        <w:t>ו</w:t>
      </w:r>
      <w:r w:rsidRPr="00FC7711">
        <w:rPr>
          <w:rFonts w:hint="eastAsia"/>
          <w:rtl/>
        </w:rPr>
        <w:t>ת</w:t>
      </w:r>
      <w:r w:rsidRPr="00FC7711">
        <w:rPr>
          <w:rtl/>
        </w:rPr>
        <w:t xml:space="preserve"> </w:t>
      </w:r>
      <w:r w:rsidRPr="00FC7711">
        <w:rPr>
          <w:rFonts w:hint="eastAsia"/>
          <w:rtl/>
        </w:rPr>
        <w:t>חוק</w:t>
      </w:r>
      <w:r w:rsidRPr="00FC7711">
        <w:rPr>
          <w:rtl/>
        </w:rPr>
        <w:t xml:space="preserve"> </w:t>
      </w:r>
      <w:r>
        <w:rPr>
          <w:rFonts w:hint="eastAsia"/>
          <w:rtl/>
        </w:rPr>
        <w:t>זה</w:t>
      </w:r>
      <w:r>
        <w:rPr>
          <w:rFonts w:hint="cs"/>
          <w:rtl/>
        </w:rPr>
        <w:t>ות</w:t>
      </w:r>
      <w:r w:rsidRPr="00FC7711">
        <w:rPr>
          <w:rtl/>
        </w:rPr>
        <w:t xml:space="preserve"> </w:t>
      </w:r>
      <w:r>
        <w:rPr>
          <w:rFonts w:hint="eastAsia"/>
          <w:rtl/>
        </w:rPr>
        <w:t>הונח</w:t>
      </w:r>
      <w:r>
        <w:rPr>
          <w:rFonts w:hint="cs"/>
          <w:rtl/>
        </w:rPr>
        <w:t xml:space="preserve">ו </w:t>
      </w:r>
      <w:r w:rsidRPr="00FC7711">
        <w:rPr>
          <w:rFonts w:hint="eastAsia"/>
          <w:rtl/>
        </w:rPr>
        <w:t>על</w:t>
      </w:r>
      <w:r w:rsidRPr="00FC7711">
        <w:rPr>
          <w:rtl/>
        </w:rPr>
        <w:t xml:space="preserve"> </w:t>
      </w:r>
      <w:r w:rsidRPr="00FC7711">
        <w:rPr>
          <w:rFonts w:hint="eastAsia"/>
          <w:rtl/>
        </w:rPr>
        <w:t>שולחן</w:t>
      </w:r>
      <w:r w:rsidRPr="00FC7711">
        <w:rPr>
          <w:rtl/>
        </w:rPr>
        <w:t xml:space="preserve"> </w:t>
      </w:r>
      <w:r w:rsidRPr="00FC7711">
        <w:rPr>
          <w:rFonts w:hint="eastAsia"/>
          <w:rtl/>
        </w:rPr>
        <w:t>הכנסת</w:t>
      </w:r>
      <w:r w:rsidRPr="00FC7711">
        <w:rPr>
          <w:rtl/>
        </w:rPr>
        <w:t xml:space="preserve"> </w:t>
      </w:r>
      <w:r w:rsidRPr="00FC7711">
        <w:rPr>
          <w:rFonts w:hint="eastAsia"/>
          <w:rtl/>
        </w:rPr>
        <w:t>העשרים</w:t>
      </w:r>
      <w:r w:rsidRPr="00FC7711">
        <w:rPr>
          <w:rtl/>
        </w:rPr>
        <w:t xml:space="preserve"> </w:t>
      </w:r>
      <w:r w:rsidRPr="00FC7711">
        <w:rPr>
          <w:rFonts w:hint="eastAsia"/>
          <w:rtl/>
        </w:rPr>
        <w:t>על</w:t>
      </w:r>
      <w:r w:rsidRPr="00FC7711">
        <w:rPr>
          <w:rtl/>
        </w:rPr>
        <w:t xml:space="preserve"> </w:t>
      </w:r>
      <w:r w:rsidRPr="00FC7711">
        <w:rPr>
          <w:rFonts w:hint="eastAsia"/>
          <w:rtl/>
        </w:rPr>
        <w:t>ידי</w:t>
      </w:r>
      <w:r w:rsidRPr="00FC7711">
        <w:rPr>
          <w:rtl/>
        </w:rPr>
        <w:t xml:space="preserve"> </w:t>
      </w:r>
      <w:r w:rsidRPr="00FC7711">
        <w:rPr>
          <w:rFonts w:hint="eastAsia"/>
          <w:rtl/>
        </w:rPr>
        <w:t>חברי</w:t>
      </w:r>
      <w:r w:rsidRPr="00FC7711">
        <w:rPr>
          <w:rtl/>
        </w:rPr>
        <w:t xml:space="preserve"> הכנסת אורי מקלב </w:t>
      </w:r>
      <w:r w:rsidRPr="00FC7711">
        <w:rPr>
          <w:rFonts w:hint="eastAsia"/>
          <w:rtl/>
        </w:rPr>
        <w:t>ומשה</w:t>
      </w:r>
      <w:r>
        <w:rPr>
          <w:rtl/>
        </w:rPr>
        <w:t xml:space="preserve"> גפני (פ/1715/20)</w:t>
      </w:r>
      <w:r>
        <w:rPr>
          <w:rFonts w:hint="cs"/>
          <w:rtl/>
        </w:rPr>
        <w:t>, על שולחן הכנסת העשרים ושתיים על ידי חבר הכנסת אורי מקלב וקבוצת חברי הכנסת (פ/848/22) ועל שולחן הכנסת העשרים ושלוש על ידי חבר הכנסת משה גפני וקבוצת חברי הכנסת (פ/</w:t>
      </w:r>
      <w:r w:rsidR="00422B4B">
        <w:rPr>
          <w:rFonts w:hint="cs"/>
          <w:rtl/>
        </w:rPr>
        <w:t>1278</w:t>
      </w:r>
      <w:r>
        <w:rPr>
          <w:rFonts w:hint="cs"/>
          <w:rtl/>
        </w:rPr>
        <w:t>/23).</w:t>
      </w:r>
    </w:p>
    <w:p w:rsidR="00422B4B" w:rsidP="00422B4B" w:rsidRDefault="00422B4B" w14:paraId="06246BDC" w14:textId="07907640">
      <w:pPr>
        <w:pStyle w:val="Hesber"/>
        <w:rPr>
          <w:rtl/>
        </w:rPr>
      </w:pPr>
      <w:r>
        <w:rPr>
          <w:rFonts w:hint="cs"/>
          <w:rtl/>
        </w:rPr>
        <w:t>הצעת החוק זהה לפ/1278/23 ולפיכך לא נבדקה מחדש על ידי הלשכה המשפטית של הכנסת.</w:t>
      </w:r>
    </w:p>
    <w:p w:rsidR="00E13C27" w:rsidP="00197BBB" w:rsidRDefault="00E13C27" w14:paraId="7F6961CB" w14:textId="5312126B">
      <w:pPr>
        <w:pStyle w:val="Hesber"/>
        <w:rPr>
          <w:rtl/>
        </w:rPr>
      </w:pPr>
    </w:p>
    <w:p>
      <w:pPr>
        <w:jc w:val="left"/>
        <w:spacing w:before="0" w:after="0" w:line="276" w:lineRule="auto"/>
      </w:pPr>
      <w:bookmarkStart w:name="selectedDocDateB" w:id="9"/>
      <w:bookmarkEnd w:id="9"/>
      <w:r/>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ד' באדר ב' התשפ"ב</w:t>
        <w:t xml:space="preserve"> (07.03.2022) </w:t>
      </w:r>
    </w:p>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5123CA55"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FA5B01">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C8C6562" w14:textId="77777777" w:rsidR="00197BBB" w:rsidRDefault="00197BBB" w:rsidP="00197BBB">
      <w:pPr>
        <w:pStyle w:val="a4"/>
      </w:pPr>
      <w:r>
        <w:rPr>
          <w:rStyle w:val="a6"/>
        </w:rPr>
        <w:footnoteRef/>
      </w:r>
      <w:r>
        <w:rPr>
          <w:rtl/>
        </w:rPr>
        <w:t xml:space="preserve"> </w:t>
      </w:r>
      <w:r>
        <w:rPr>
          <w:rFonts w:hint="cs"/>
          <w:rtl/>
        </w:rPr>
        <w:t>ס"ח התשי"ד, עמ' 154.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97BB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22B4B"/>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B01"/>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9E258F74-4026-4FFC-A795-06CAAB8C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197BBB"/>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A50EDF17-CFFE-4077-A61C-93F4B91DF5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www.w3.org/XML/1998/namespace"/>
    <ds:schemaRef ds:uri="http://purl.org/dc/dcmitype/"/>
  </ds:schemaRefs>
</ds:datastoreItem>
</file>

<file path=customXml/itemProps4.xml><?xml version="1.0" encoding="utf-8"?>
<ds:datastoreItem xmlns:ds="http://schemas.openxmlformats.org/officeDocument/2006/customXml" ds:itemID="{325E06B9-F414-4295-BA75-C0CF162D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399</Words>
  <Characters>1999</Characters>
  <Application>Microsoft Office Word</Application>
  <DocSecurity>0</DocSecurity>
  <Lines>16</Lines>
  <Paragraphs>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אידלס</cp:lastModifiedBy>
  <cp:revision>6</cp:revision>
  <cp:lastPrinted>2013-07-04T08:25:00Z</cp:lastPrinted>
  <dcterms:created xsi:type="dcterms:W3CDTF">2015-04-20T09:58:00Z</dcterms:created>
  <dcterms:modified xsi:type="dcterms:W3CDTF">2022-03-02T11:59:00Z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2190335</vt:r8>
  </property>
</Properties>
</file>